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9E04F8" w14:textId="77777777" w:rsidR="005B63A9" w:rsidRPr="00A50D35" w:rsidRDefault="005B63A9" w:rsidP="00696D9D">
      <w:pPr>
        <w:pStyle w:val="Title"/>
        <w:spacing w:line="276" w:lineRule="auto"/>
        <w:jc w:val="center"/>
        <w:rPr>
          <w:rFonts w:ascii="Book Antiqua" w:hAnsi="Book Antiqua"/>
          <w:color w:val="4472C4" w:themeColor="accent1"/>
        </w:rPr>
      </w:pPr>
      <w:r w:rsidRPr="00A50D35">
        <w:rPr>
          <w:rFonts w:ascii="Book Antiqua" w:hAnsi="Book Antiqua"/>
          <w:noProof/>
          <w:color w:val="4472C4" w:themeColor="accent1"/>
          <w:lang w:bidi="ar-SA"/>
        </w:rPr>
        <w:drawing>
          <wp:inline distT="0" distB="0" distL="0" distR="0" wp14:anchorId="3BC2AF05" wp14:editId="36C12B62">
            <wp:extent cx="1828607" cy="803779"/>
            <wp:effectExtent l="0" t="0" r="635" b="0"/>
            <wp:docPr id="1" name="Picture 1" descr="C:\Users\shah\AppData\Local\Microsoft\Windows\INetCache\Content.MSO\5A914B1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hah\AppData\Local\Microsoft\Windows\INetCache\Content.MSO\5A914B17.tm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72850" cy="823226"/>
                    </a:xfrm>
                    <a:prstGeom prst="rect">
                      <a:avLst/>
                    </a:prstGeom>
                    <a:noFill/>
                    <a:ln>
                      <a:noFill/>
                    </a:ln>
                  </pic:spPr>
                </pic:pic>
              </a:graphicData>
            </a:graphic>
          </wp:inline>
        </w:drawing>
      </w:r>
    </w:p>
    <w:p w14:paraId="173177B6" w14:textId="77777777" w:rsidR="005B63A9" w:rsidRPr="00A50D35" w:rsidRDefault="005B63A9" w:rsidP="00696D9D">
      <w:pPr>
        <w:pStyle w:val="Title"/>
        <w:spacing w:after="240" w:line="276" w:lineRule="auto"/>
        <w:jc w:val="center"/>
        <w:rPr>
          <w:rFonts w:ascii="Book Antiqua" w:hAnsi="Book Antiqua"/>
          <w:b/>
          <w:color w:val="4472C4" w:themeColor="accent1"/>
          <w:sz w:val="36"/>
          <w:szCs w:val="36"/>
        </w:rPr>
      </w:pPr>
      <w:r w:rsidRPr="00A50D35">
        <w:rPr>
          <w:rFonts w:ascii="Book Antiqua" w:hAnsi="Book Antiqua"/>
          <w:b/>
          <w:color w:val="4472C4" w:themeColor="accent1"/>
          <w:sz w:val="36"/>
          <w:szCs w:val="36"/>
        </w:rPr>
        <w:t>Terms of Reference</w:t>
      </w:r>
    </w:p>
    <w:tbl>
      <w:tblPr>
        <w:tblStyle w:val="TableGrid"/>
        <w:tblW w:w="0" w:type="auto"/>
        <w:tblLook w:val="04A0" w:firstRow="1" w:lastRow="0" w:firstColumn="1" w:lastColumn="0" w:noHBand="0" w:noVBand="1"/>
      </w:tblPr>
      <w:tblGrid>
        <w:gridCol w:w="1953"/>
        <w:gridCol w:w="6892"/>
      </w:tblGrid>
      <w:tr w:rsidR="005B63A9" w:rsidRPr="00A50D35" w14:paraId="73EF5AA8" w14:textId="77777777" w:rsidTr="00696D9D">
        <w:trPr>
          <w:trHeight w:val="619"/>
        </w:trPr>
        <w:tc>
          <w:tcPr>
            <w:tcW w:w="1953" w:type="dxa"/>
          </w:tcPr>
          <w:p w14:paraId="5FCA3DE2" w14:textId="77777777" w:rsidR="005B63A9" w:rsidRPr="00A50D35" w:rsidRDefault="005B63A9" w:rsidP="005B63A9">
            <w:pPr>
              <w:spacing w:line="276" w:lineRule="auto"/>
              <w:jc w:val="right"/>
              <w:rPr>
                <w:rFonts w:ascii="Book Antiqua" w:hAnsi="Book Antiqua"/>
                <w:b/>
                <w:sz w:val="24"/>
                <w:szCs w:val="24"/>
              </w:rPr>
            </w:pPr>
            <w:r w:rsidRPr="00A50D35">
              <w:rPr>
                <w:rFonts w:ascii="Book Antiqua" w:hAnsi="Book Antiqua"/>
                <w:b/>
                <w:sz w:val="24"/>
                <w:szCs w:val="24"/>
              </w:rPr>
              <w:t>Project Title</w:t>
            </w:r>
          </w:p>
        </w:tc>
        <w:tc>
          <w:tcPr>
            <w:tcW w:w="6892" w:type="dxa"/>
          </w:tcPr>
          <w:p w14:paraId="6CB4ECDA" w14:textId="77777777" w:rsidR="005B63A9" w:rsidRPr="00A50D35" w:rsidRDefault="005B63A9" w:rsidP="005B63A9">
            <w:pPr>
              <w:spacing w:line="276" w:lineRule="auto"/>
              <w:rPr>
                <w:rFonts w:ascii="Book Antiqua" w:hAnsi="Book Antiqua"/>
                <w:sz w:val="24"/>
                <w:szCs w:val="24"/>
              </w:rPr>
            </w:pPr>
            <w:r w:rsidRPr="00A50D35">
              <w:rPr>
                <w:rFonts w:ascii="Book Antiqua" w:hAnsi="Book Antiqua"/>
                <w:sz w:val="24"/>
                <w:szCs w:val="24"/>
              </w:rPr>
              <w:t>Enabling resilient Micro, Small and Medium Enterprises recovery in response to impact of COVID-19</w:t>
            </w:r>
          </w:p>
        </w:tc>
      </w:tr>
      <w:tr w:rsidR="005B63A9" w:rsidRPr="00A50D35" w14:paraId="614FF7E2" w14:textId="77777777" w:rsidTr="00696D9D">
        <w:trPr>
          <w:trHeight w:val="302"/>
        </w:trPr>
        <w:tc>
          <w:tcPr>
            <w:tcW w:w="1953" w:type="dxa"/>
          </w:tcPr>
          <w:p w14:paraId="4075DBCA" w14:textId="77777777" w:rsidR="005B63A9" w:rsidRPr="00A50D35" w:rsidRDefault="005B63A9" w:rsidP="005B63A9">
            <w:pPr>
              <w:spacing w:line="276" w:lineRule="auto"/>
              <w:jc w:val="right"/>
              <w:rPr>
                <w:rFonts w:ascii="Book Antiqua" w:hAnsi="Book Antiqua"/>
                <w:b/>
                <w:sz w:val="24"/>
                <w:szCs w:val="24"/>
              </w:rPr>
            </w:pPr>
            <w:r w:rsidRPr="00A50D35">
              <w:rPr>
                <w:rFonts w:ascii="Book Antiqua" w:hAnsi="Book Antiqua"/>
                <w:b/>
                <w:sz w:val="24"/>
                <w:szCs w:val="24"/>
              </w:rPr>
              <w:t>Assignment</w:t>
            </w:r>
          </w:p>
        </w:tc>
        <w:tc>
          <w:tcPr>
            <w:tcW w:w="6892" w:type="dxa"/>
          </w:tcPr>
          <w:p w14:paraId="047D987F" w14:textId="638100FC" w:rsidR="005B63A9" w:rsidRPr="00A50D35" w:rsidRDefault="005B63A9" w:rsidP="00897ED5">
            <w:pPr>
              <w:spacing w:line="276" w:lineRule="auto"/>
              <w:rPr>
                <w:rFonts w:ascii="Book Antiqua" w:hAnsi="Book Antiqua"/>
                <w:sz w:val="24"/>
                <w:szCs w:val="24"/>
              </w:rPr>
            </w:pPr>
            <w:r w:rsidRPr="005B63A9">
              <w:rPr>
                <w:rFonts w:ascii="Book Antiqua" w:hAnsi="Book Antiqua"/>
                <w:sz w:val="24"/>
                <w:szCs w:val="24"/>
              </w:rPr>
              <w:t xml:space="preserve">Develop Youth employment promotion strategy </w:t>
            </w:r>
            <w:r w:rsidR="0085229A">
              <w:rPr>
                <w:rFonts w:ascii="Book Antiqua" w:hAnsi="Book Antiqua"/>
                <w:sz w:val="24"/>
                <w:szCs w:val="24"/>
              </w:rPr>
              <w:t xml:space="preserve">for municipalities in </w:t>
            </w:r>
            <w:r w:rsidR="00897ED5">
              <w:rPr>
                <w:rFonts w:ascii="Book Antiqua" w:hAnsi="Book Antiqua"/>
                <w:sz w:val="24"/>
                <w:szCs w:val="24"/>
              </w:rPr>
              <w:t>Lumbini province</w:t>
            </w:r>
          </w:p>
        </w:tc>
      </w:tr>
      <w:tr w:rsidR="005B63A9" w:rsidRPr="00A50D35" w14:paraId="1574813A" w14:textId="77777777" w:rsidTr="00696D9D">
        <w:trPr>
          <w:trHeight w:val="302"/>
        </w:trPr>
        <w:tc>
          <w:tcPr>
            <w:tcW w:w="1953" w:type="dxa"/>
          </w:tcPr>
          <w:p w14:paraId="53E57856" w14:textId="77777777" w:rsidR="005B63A9" w:rsidRPr="00A50D35" w:rsidRDefault="005B63A9" w:rsidP="005B63A9">
            <w:pPr>
              <w:spacing w:line="276" w:lineRule="auto"/>
              <w:jc w:val="right"/>
              <w:rPr>
                <w:rFonts w:ascii="Book Antiqua" w:hAnsi="Book Antiqua"/>
                <w:b/>
                <w:sz w:val="24"/>
                <w:szCs w:val="24"/>
              </w:rPr>
            </w:pPr>
            <w:r w:rsidRPr="00A50D35">
              <w:rPr>
                <w:rFonts w:ascii="Book Antiqua" w:hAnsi="Book Antiqua"/>
                <w:b/>
                <w:sz w:val="24"/>
                <w:szCs w:val="24"/>
              </w:rPr>
              <w:t>Work Days</w:t>
            </w:r>
          </w:p>
        </w:tc>
        <w:tc>
          <w:tcPr>
            <w:tcW w:w="6892" w:type="dxa"/>
          </w:tcPr>
          <w:p w14:paraId="25464FEA" w14:textId="3486337F" w:rsidR="005B63A9" w:rsidRPr="00A50D35" w:rsidRDefault="005B63A9" w:rsidP="005B63A9">
            <w:pPr>
              <w:spacing w:line="276" w:lineRule="auto"/>
              <w:rPr>
                <w:rFonts w:ascii="Book Antiqua" w:hAnsi="Book Antiqua"/>
                <w:sz w:val="24"/>
                <w:szCs w:val="24"/>
              </w:rPr>
            </w:pPr>
            <w:r>
              <w:rPr>
                <w:rFonts w:ascii="Book Antiqua" w:hAnsi="Book Antiqua"/>
                <w:sz w:val="24"/>
                <w:szCs w:val="24"/>
              </w:rPr>
              <w:t>20</w:t>
            </w:r>
            <w:r w:rsidRPr="00A50D35">
              <w:rPr>
                <w:rFonts w:ascii="Book Antiqua" w:hAnsi="Book Antiqua"/>
                <w:sz w:val="24"/>
                <w:szCs w:val="24"/>
              </w:rPr>
              <w:t xml:space="preserve"> days</w:t>
            </w:r>
          </w:p>
        </w:tc>
      </w:tr>
    </w:tbl>
    <w:p w14:paraId="45653945" w14:textId="77777777" w:rsidR="005B63A9" w:rsidRPr="00230C5E" w:rsidRDefault="005B63A9" w:rsidP="005B63A9">
      <w:pPr>
        <w:spacing w:line="276" w:lineRule="auto"/>
        <w:rPr>
          <w:rFonts w:ascii="Book Antiqua" w:hAnsi="Book Antiqua"/>
          <w:b/>
          <w:bCs/>
          <w:sz w:val="24"/>
          <w:szCs w:val="24"/>
        </w:rPr>
      </w:pPr>
      <w:r w:rsidRPr="00230C5E">
        <w:rPr>
          <w:rFonts w:ascii="Book Antiqua" w:hAnsi="Book Antiqua"/>
          <w:b/>
          <w:bCs/>
          <w:sz w:val="24"/>
          <w:szCs w:val="24"/>
        </w:rPr>
        <w:t>Background</w:t>
      </w:r>
    </w:p>
    <w:p w14:paraId="5752DBA4" w14:textId="77777777" w:rsidR="005B63A9" w:rsidRPr="00230C5E" w:rsidRDefault="005B63A9" w:rsidP="005B63A9">
      <w:pPr>
        <w:spacing w:before="240" w:line="276" w:lineRule="auto"/>
        <w:contextualSpacing/>
        <w:jc w:val="both"/>
        <w:rPr>
          <w:rFonts w:ascii="Book Antiqua" w:hAnsi="Book Antiqua"/>
          <w:sz w:val="24"/>
          <w:szCs w:val="24"/>
        </w:rPr>
      </w:pPr>
      <w:r w:rsidRPr="00230C5E">
        <w:rPr>
          <w:rFonts w:ascii="Book Antiqua" w:hAnsi="Book Antiqua"/>
          <w:sz w:val="24"/>
          <w:szCs w:val="24"/>
        </w:rPr>
        <w:t>National Business Initiative is a non-profit organization established by major private sector associations and corporations of Nepal in 2003 with an aim of promoting sustainable peace through responsible socio-economic development. It works in partnership with business houses, business associations, international development agencies and local NGOs and other business stakeholders to foster constructive and cooperative partnerships and relationships between the private and other sectors of Nepal.</w:t>
      </w:r>
    </w:p>
    <w:p w14:paraId="20C10FAD" w14:textId="77777777" w:rsidR="005B63A9" w:rsidRPr="00230C5E" w:rsidRDefault="005B63A9" w:rsidP="005B63A9">
      <w:pPr>
        <w:spacing w:before="240" w:line="276" w:lineRule="auto"/>
        <w:jc w:val="both"/>
        <w:rPr>
          <w:rFonts w:ascii="Book Antiqua" w:hAnsi="Book Antiqua"/>
          <w:sz w:val="24"/>
          <w:szCs w:val="24"/>
        </w:rPr>
      </w:pPr>
      <w:r w:rsidRPr="00230C5E">
        <w:rPr>
          <w:rFonts w:ascii="Book Antiqua" w:hAnsi="Book Antiqua"/>
          <w:sz w:val="24"/>
          <w:szCs w:val="24"/>
        </w:rPr>
        <w:t>The world is facing unprecedented challenges as a result of COVID-19 pandemic. There has been a sharp decline in global economic activities. In the country like Nepal where the economy is driven by remittance, major sectors are consumption pushed wholesale and retail trade, foreign arrivals dependent on the tourism sector, supply chain based manufacturing, and finally agriculture sector. The nationwide lockdown had the effect of disrupting supply chains, remittance, foreign arrivals, and consumption severely disrupting enterprises and jobs in these sectors. The crisis is making it difficult for all sections of society especially businesses to survive and sustain. It is certain that if all stakeholders do not collectivize to push for appropriate actions, then the impact will be more pronounced. </w:t>
      </w:r>
    </w:p>
    <w:p w14:paraId="2983254F" w14:textId="77777777" w:rsidR="005B63A9" w:rsidRPr="00230C5E" w:rsidRDefault="005B63A9" w:rsidP="005B63A9">
      <w:pPr>
        <w:spacing w:line="276" w:lineRule="auto"/>
        <w:rPr>
          <w:rFonts w:ascii="Book Antiqua" w:hAnsi="Book Antiqua"/>
          <w:b/>
          <w:bCs/>
          <w:sz w:val="24"/>
          <w:szCs w:val="24"/>
        </w:rPr>
      </w:pPr>
      <w:r w:rsidRPr="00230C5E">
        <w:rPr>
          <w:rFonts w:ascii="Book Antiqua" w:hAnsi="Book Antiqua"/>
          <w:b/>
          <w:bCs/>
          <w:sz w:val="24"/>
          <w:szCs w:val="24"/>
        </w:rPr>
        <w:t>Context</w:t>
      </w:r>
    </w:p>
    <w:p w14:paraId="273B09CA" w14:textId="77777777" w:rsidR="005B63A9" w:rsidRPr="00230C5E" w:rsidRDefault="005B63A9" w:rsidP="005B63A9">
      <w:pPr>
        <w:spacing w:line="276" w:lineRule="auto"/>
        <w:jc w:val="both"/>
        <w:rPr>
          <w:rFonts w:ascii="Book Antiqua" w:hAnsi="Book Antiqua"/>
          <w:sz w:val="24"/>
          <w:szCs w:val="24"/>
        </w:rPr>
      </w:pPr>
      <w:r w:rsidRPr="00230C5E">
        <w:rPr>
          <w:rFonts w:ascii="Book Antiqua" w:hAnsi="Book Antiqua"/>
          <w:sz w:val="24"/>
          <w:szCs w:val="24"/>
        </w:rPr>
        <w:t xml:space="preserve">Formal SMEs in Nepal contribute to 22 percent of total national output and provide employment to 1.7 million workers. Here, 94.6 percent of all Nepali enterprises are micro enterprises that employ 59 percent of all workers working in enterprises in the country. As such they also factor significantly in informal sector employment which accounts for 62.2 percent of national labor force. Supporting MSMEs therefore are a direct way to enable job creation and to ensure that these jobs are in line with existing labor standards. </w:t>
      </w:r>
    </w:p>
    <w:p w14:paraId="1EF345CE" w14:textId="77777777" w:rsidR="005B63A9" w:rsidRPr="00230C5E" w:rsidRDefault="005B63A9" w:rsidP="005B63A9">
      <w:pPr>
        <w:spacing w:line="276" w:lineRule="auto"/>
        <w:jc w:val="both"/>
        <w:rPr>
          <w:rFonts w:ascii="Book Antiqua" w:hAnsi="Book Antiqua"/>
          <w:sz w:val="24"/>
          <w:szCs w:val="24"/>
        </w:rPr>
      </w:pPr>
      <w:r w:rsidRPr="00230C5E">
        <w:rPr>
          <w:rFonts w:ascii="Book Antiqua" w:hAnsi="Book Antiqua"/>
          <w:sz w:val="24"/>
          <w:szCs w:val="24"/>
        </w:rPr>
        <w:lastRenderedPageBreak/>
        <w:t xml:space="preserve">A new fiscal year programme has been announced by government at all three levels where focus on micro small and medium enterprises was welcomed. Private sector, while widely welcoming of changes, have pointed out the need to deeply look at existing policy and regulatory framework to identify how it can be made more responsive to continued impact of COVID-19 and also similar future events. Similarly, past learning (over earthquake 2015) has shown that translation of policy to action is always a challenge. </w:t>
      </w:r>
    </w:p>
    <w:p w14:paraId="75C9A4E2" w14:textId="77777777" w:rsidR="005B63A9" w:rsidRPr="00230C5E" w:rsidRDefault="005B63A9" w:rsidP="005B63A9">
      <w:pPr>
        <w:spacing w:line="276" w:lineRule="auto"/>
        <w:jc w:val="both"/>
        <w:rPr>
          <w:rFonts w:ascii="Book Antiqua" w:hAnsi="Book Antiqua"/>
          <w:sz w:val="24"/>
          <w:szCs w:val="24"/>
        </w:rPr>
      </w:pPr>
      <w:r w:rsidRPr="00230C5E">
        <w:rPr>
          <w:rFonts w:ascii="Book Antiqua" w:hAnsi="Book Antiqua"/>
          <w:sz w:val="24"/>
          <w:szCs w:val="24"/>
        </w:rPr>
        <w:t xml:space="preserve">The problem in existing situation of COVID-19 is more complex, as normal operations of MSMEs will continue to be disrupted over a period of time due to local lockdowns and continued disruption to supply chain. It is now necessary to look at what policy response measures can be taken for the medium and long run to enable a resilient recovery. </w:t>
      </w:r>
    </w:p>
    <w:p w14:paraId="53C76305" w14:textId="77777777" w:rsidR="005B63A9" w:rsidRPr="00230C5E" w:rsidRDefault="005B63A9" w:rsidP="005B63A9">
      <w:pPr>
        <w:spacing w:line="276" w:lineRule="auto"/>
        <w:jc w:val="both"/>
        <w:rPr>
          <w:rFonts w:ascii="Book Antiqua" w:hAnsi="Book Antiqua"/>
          <w:sz w:val="24"/>
          <w:szCs w:val="24"/>
        </w:rPr>
      </w:pPr>
      <w:r w:rsidRPr="00230C5E">
        <w:rPr>
          <w:rFonts w:ascii="Book Antiqua" w:hAnsi="Book Antiqua"/>
          <w:sz w:val="24"/>
          <w:szCs w:val="24"/>
        </w:rPr>
        <w:t>In</w:t>
      </w:r>
      <w:r w:rsidRPr="00230C5E">
        <w:rPr>
          <w:rFonts w:ascii="Book Antiqua" w:hAnsi="Book Antiqua"/>
          <w:b/>
          <w:bCs/>
          <w:sz w:val="24"/>
          <w:szCs w:val="24"/>
        </w:rPr>
        <w:t xml:space="preserve"> </w:t>
      </w:r>
      <w:r w:rsidRPr="00230C5E">
        <w:rPr>
          <w:rFonts w:ascii="Book Antiqua" w:hAnsi="Book Antiqua"/>
          <w:sz w:val="24"/>
          <w:szCs w:val="24"/>
        </w:rPr>
        <w:t xml:space="preserve">response to these challenges, National Business Initiative (NBI), in partnership with International Labor Organization (ILO), has designed a short term project titled “Enabling resilient Micro Small and Medium Enterprises (MSMEs) recovery in response to impact of COVID-19". The project interventions have so far resulted in development of resilient recommendations for recovery of MSMEs, and a collective private sector advocacy strategy for micro small and cottage industries (MCSIs). </w:t>
      </w:r>
    </w:p>
    <w:p w14:paraId="232E8678" w14:textId="1C0D0ED0" w:rsidR="005B63A9" w:rsidRPr="00230C5E" w:rsidRDefault="005B63A9" w:rsidP="005B63A9">
      <w:pPr>
        <w:spacing w:line="276" w:lineRule="auto"/>
        <w:jc w:val="both"/>
        <w:rPr>
          <w:rFonts w:ascii="Book Antiqua" w:hAnsi="Book Antiqua"/>
          <w:sz w:val="24"/>
          <w:szCs w:val="24"/>
        </w:rPr>
      </w:pPr>
      <w:r w:rsidRPr="00230C5E">
        <w:rPr>
          <w:rFonts w:ascii="Book Antiqua" w:hAnsi="Book Antiqua"/>
          <w:sz w:val="24"/>
          <w:szCs w:val="24"/>
        </w:rPr>
        <w:t xml:space="preserve">NBI as part of a next step in project interventions aims to </w:t>
      </w:r>
      <w:r w:rsidR="00897ED5">
        <w:rPr>
          <w:rFonts w:ascii="Book Antiqua" w:hAnsi="Book Antiqua"/>
          <w:sz w:val="24"/>
          <w:szCs w:val="24"/>
        </w:rPr>
        <w:t xml:space="preserve">develop a youth employment promotion strategy for municipalities in Lumbini province. This is to ensure improved coherence among subnational governments to promote </w:t>
      </w:r>
    </w:p>
    <w:p w14:paraId="5978F844" w14:textId="4AE9604B" w:rsidR="00F74BB0" w:rsidRDefault="00F74BB0" w:rsidP="00F74BB0">
      <w:pPr>
        <w:spacing w:line="240" w:lineRule="auto"/>
        <w:contextualSpacing/>
        <w:jc w:val="both"/>
      </w:pPr>
    </w:p>
    <w:p w14:paraId="096F6994" w14:textId="77777777" w:rsidR="005B63A9" w:rsidRPr="00230C5E" w:rsidRDefault="005B63A9" w:rsidP="005B63A9">
      <w:pPr>
        <w:spacing w:line="276" w:lineRule="auto"/>
        <w:jc w:val="both"/>
        <w:rPr>
          <w:rFonts w:ascii="Book Antiqua" w:hAnsi="Book Antiqua"/>
          <w:bCs/>
          <w:sz w:val="24"/>
          <w:szCs w:val="24"/>
        </w:rPr>
      </w:pPr>
      <w:r w:rsidRPr="00230C5E">
        <w:rPr>
          <w:rFonts w:ascii="Book Antiqua" w:hAnsi="Book Antiqua"/>
          <w:b/>
          <w:bCs/>
          <w:sz w:val="24"/>
          <w:szCs w:val="24"/>
        </w:rPr>
        <w:t>Objective</w:t>
      </w:r>
    </w:p>
    <w:p w14:paraId="0E79620E" w14:textId="6857CE97" w:rsidR="005B63A9" w:rsidRDefault="005B63A9" w:rsidP="005B63A9">
      <w:pPr>
        <w:spacing w:line="276" w:lineRule="auto"/>
        <w:jc w:val="both"/>
        <w:rPr>
          <w:rFonts w:ascii="Book Antiqua" w:hAnsi="Book Antiqua"/>
          <w:sz w:val="24"/>
          <w:szCs w:val="24"/>
        </w:rPr>
      </w:pPr>
      <w:r w:rsidRPr="005B63A9">
        <w:rPr>
          <w:rFonts w:ascii="Book Antiqua" w:hAnsi="Book Antiqua"/>
          <w:sz w:val="24"/>
          <w:szCs w:val="24"/>
        </w:rPr>
        <w:t xml:space="preserve">Develop Youth Employment Promotion Strategy </w:t>
      </w:r>
      <w:r w:rsidR="00A77831">
        <w:rPr>
          <w:rFonts w:ascii="Book Antiqua" w:hAnsi="Book Antiqua"/>
          <w:sz w:val="24"/>
          <w:szCs w:val="24"/>
        </w:rPr>
        <w:t xml:space="preserve">that supports municipalities in </w:t>
      </w:r>
      <w:r w:rsidR="00897ED5">
        <w:rPr>
          <w:rFonts w:ascii="Book Antiqua" w:hAnsi="Book Antiqua"/>
          <w:sz w:val="24"/>
          <w:szCs w:val="24"/>
        </w:rPr>
        <w:t>Lumbini province</w:t>
      </w:r>
      <w:r w:rsidR="00A77831">
        <w:rPr>
          <w:rFonts w:ascii="Book Antiqua" w:hAnsi="Book Antiqua"/>
          <w:sz w:val="24"/>
          <w:szCs w:val="24"/>
        </w:rPr>
        <w:t xml:space="preserve"> to </w:t>
      </w:r>
      <w:r w:rsidRPr="005B63A9">
        <w:rPr>
          <w:rFonts w:ascii="Book Antiqua" w:hAnsi="Book Antiqua"/>
          <w:sz w:val="24"/>
          <w:szCs w:val="24"/>
        </w:rPr>
        <w:t>make their employment plans and programme more youth-centric.</w:t>
      </w:r>
    </w:p>
    <w:p w14:paraId="63AB5F45" w14:textId="12DEB031" w:rsidR="00A11259" w:rsidRPr="005B63A9" w:rsidRDefault="00A11259" w:rsidP="005B63A9">
      <w:pPr>
        <w:spacing w:line="276" w:lineRule="auto"/>
        <w:jc w:val="both"/>
        <w:rPr>
          <w:rFonts w:ascii="Book Antiqua" w:hAnsi="Book Antiqua"/>
          <w:sz w:val="24"/>
          <w:szCs w:val="24"/>
        </w:rPr>
      </w:pPr>
      <w:r>
        <w:rPr>
          <w:rFonts w:ascii="Book Antiqua" w:hAnsi="Book Antiqua"/>
          <w:sz w:val="24"/>
          <w:szCs w:val="24"/>
        </w:rPr>
        <w:t xml:space="preserve">Note that strategy should have an accompanying background that together with consultations should provide evidence for strategy. </w:t>
      </w:r>
    </w:p>
    <w:p w14:paraId="6314AC91" w14:textId="77777777" w:rsidR="005B63A9" w:rsidRPr="00230C5E" w:rsidRDefault="005B63A9" w:rsidP="005B63A9">
      <w:pPr>
        <w:spacing w:line="276" w:lineRule="auto"/>
        <w:jc w:val="both"/>
        <w:rPr>
          <w:rFonts w:ascii="Book Antiqua" w:hAnsi="Book Antiqua"/>
          <w:bCs/>
          <w:sz w:val="24"/>
          <w:szCs w:val="24"/>
        </w:rPr>
      </w:pPr>
      <w:r w:rsidRPr="00230C5E">
        <w:rPr>
          <w:rFonts w:ascii="Book Antiqua" w:hAnsi="Book Antiqua"/>
          <w:b/>
          <w:bCs/>
          <w:sz w:val="24"/>
          <w:szCs w:val="24"/>
        </w:rPr>
        <w:t>Tasks</w:t>
      </w:r>
    </w:p>
    <w:p w14:paraId="19D297B7" w14:textId="4BD0D561" w:rsidR="000904EC" w:rsidRPr="000904EC" w:rsidRDefault="000904EC" w:rsidP="000904EC">
      <w:pPr>
        <w:pStyle w:val="ListParagraph"/>
        <w:numPr>
          <w:ilvl w:val="0"/>
          <w:numId w:val="5"/>
        </w:numPr>
        <w:spacing w:line="276" w:lineRule="auto"/>
        <w:jc w:val="both"/>
        <w:rPr>
          <w:rFonts w:ascii="Book Antiqua" w:hAnsi="Book Antiqua"/>
          <w:sz w:val="24"/>
          <w:szCs w:val="24"/>
        </w:rPr>
      </w:pPr>
      <w:r>
        <w:rPr>
          <w:rFonts w:ascii="Book Antiqua" w:hAnsi="Book Antiqua"/>
          <w:sz w:val="24"/>
          <w:szCs w:val="24"/>
        </w:rPr>
        <w:t>Development of accompanying background that provides evidence for options incorporated in the strategy. The following steps can be taken as a guide to develop this aspect of the work;</w:t>
      </w:r>
    </w:p>
    <w:p w14:paraId="13D6DD00" w14:textId="7C4C652E" w:rsidR="00740C62" w:rsidRPr="000904EC" w:rsidRDefault="00740C62" w:rsidP="000904EC">
      <w:pPr>
        <w:pStyle w:val="ListParagraph"/>
        <w:numPr>
          <w:ilvl w:val="0"/>
          <w:numId w:val="4"/>
        </w:numPr>
        <w:spacing w:line="276" w:lineRule="auto"/>
        <w:jc w:val="both"/>
        <w:rPr>
          <w:rFonts w:ascii="Book Antiqua" w:hAnsi="Book Antiqua"/>
          <w:sz w:val="24"/>
          <w:szCs w:val="24"/>
        </w:rPr>
      </w:pPr>
      <w:r w:rsidRPr="000904EC">
        <w:rPr>
          <w:rFonts w:ascii="Book Antiqua" w:hAnsi="Book Antiqua"/>
          <w:i/>
          <w:sz w:val="24"/>
          <w:szCs w:val="24"/>
        </w:rPr>
        <w:t>Overview of economic and social context</w:t>
      </w:r>
      <w:r w:rsidRPr="000904EC">
        <w:rPr>
          <w:rFonts w:ascii="Book Antiqua" w:hAnsi="Book Antiqua"/>
          <w:sz w:val="24"/>
          <w:szCs w:val="24"/>
        </w:rPr>
        <w:t xml:space="preserve">: indicate existing economic and social policies and conduct a concise analysis of how they address employment. Focus on National context and Lumbini province would be relevant here </w:t>
      </w:r>
    </w:p>
    <w:p w14:paraId="3084CCF2" w14:textId="7F28DDED" w:rsidR="00567959" w:rsidRPr="000904EC" w:rsidRDefault="00567959" w:rsidP="000904EC">
      <w:pPr>
        <w:pStyle w:val="ListParagraph"/>
        <w:numPr>
          <w:ilvl w:val="0"/>
          <w:numId w:val="4"/>
        </w:numPr>
        <w:spacing w:line="276" w:lineRule="auto"/>
        <w:jc w:val="both"/>
        <w:rPr>
          <w:rFonts w:ascii="Book Antiqua" w:hAnsi="Book Antiqua"/>
          <w:sz w:val="24"/>
          <w:szCs w:val="24"/>
        </w:rPr>
      </w:pPr>
      <w:r w:rsidRPr="000904EC">
        <w:rPr>
          <w:rFonts w:ascii="Book Antiqua" w:hAnsi="Book Antiqua"/>
          <w:i/>
          <w:sz w:val="24"/>
          <w:szCs w:val="24"/>
        </w:rPr>
        <w:t>Youth employment status</w:t>
      </w:r>
      <w:r w:rsidRPr="000904EC">
        <w:rPr>
          <w:rFonts w:ascii="Book Antiqua" w:hAnsi="Book Antiqua"/>
          <w:sz w:val="24"/>
          <w:szCs w:val="24"/>
        </w:rPr>
        <w:t xml:space="preserve">: Analysis of labour market situation and through it main problems of relevance for youth employment. Key areas for analysis would be </w:t>
      </w:r>
      <w:r w:rsidRPr="000904EC">
        <w:rPr>
          <w:rFonts w:ascii="Book Antiqua" w:hAnsi="Book Antiqua"/>
          <w:sz w:val="24"/>
          <w:szCs w:val="24"/>
        </w:rPr>
        <w:lastRenderedPageBreak/>
        <w:t xml:space="preserve">youth related labour force participation, youth employment trend, employment by type of contract, informal employment, time related unemployment, youth unemployment trend, ratio of youth to total unemployment rates ratio, wages, working conditions and others, depending on data available. </w:t>
      </w:r>
    </w:p>
    <w:p w14:paraId="795E44DD" w14:textId="38458E39" w:rsidR="00567959" w:rsidRPr="000904EC" w:rsidRDefault="00740C62" w:rsidP="000904EC">
      <w:pPr>
        <w:pStyle w:val="ListParagraph"/>
        <w:numPr>
          <w:ilvl w:val="0"/>
          <w:numId w:val="4"/>
        </w:numPr>
        <w:spacing w:line="276" w:lineRule="auto"/>
        <w:jc w:val="both"/>
        <w:rPr>
          <w:rFonts w:ascii="Book Antiqua" w:hAnsi="Book Antiqua"/>
          <w:sz w:val="24"/>
          <w:szCs w:val="24"/>
        </w:rPr>
      </w:pPr>
      <w:r w:rsidRPr="000904EC">
        <w:rPr>
          <w:rFonts w:ascii="Book Antiqua" w:hAnsi="Book Antiqua"/>
          <w:i/>
          <w:sz w:val="24"/>
          <w:szCs w:val="24"/>
        </w:rPr>
        <w:t>Review of existing policies and programmes affecting youth employment at provincial and municipal level</w:t>
      </w:r>
      <w:r w:rsidRPr="000904EC">
        <w:rPr>
          <w:rFonts w:ascii="Book Antiqua" w:hAnsi="Book Antiqua"/>
          <w:sz w:val="24"/>
          <w:szCs w:val="24"/>
        </w:rPr>
        <w:t xml:space="preserve">: The idea is to identify how economic and social policies are affecting youth employment, and to identify the extent youth employment related challenges are being addressed through employment strategies and existing labour market information. The section might need a look into labour legislation, capacity of enterprise sector to create jobs, main features of education and training policies and systems and their influence on youth employment outcomes, active labour market measures among others. </w:t>
      </w:r>
    </w:p>
    <w:p w14:paraId="647C5BCD" w14:textId="174E2E4D" w:rsidR="00740C62" w:rsidRPr="000904EC" w:rsidRDefault="00740C62" w:rsidP="000904EC">
      <w:pPr>
        <w:pStyle w:val="ListParagraph"/>
        <w:numPr>
          <w:ilvl w:val="0"/>
          <w:numId w:val="4"/>
        </w:numPr>
        <w:spacing w:line="276" w:lineRule="auto"/>
        <w:jc w:val="both"/>
        <w:rPr>
          <w:rFonts w:ascii="Book Antiqua" w:hAnsi="Book Antiqua"/>
          <w:sz w:val="24"/>
          <w:szCs w:val="24"/>
        </w:rPr>
      </w:pPr>
      <w:r w:rsidRPr="000904EC">
        <w:rPr>
          <w:rFonts w:ascii="Book Antiqua" w:hAnsi="Book Antiqua"/>
          <w:i/>
          <w:sz w:val="24"/>
          <w:szCs w:val="24"/>
        </w:rPr>
        <w:t>Institutional framework and coordination on youth employment</w:t>
      </w:r>
      <w:r w:rsidRPr="000904EC">
        <w:rPr>
          <w:rFonts w:ascii="Book Antiqua" w:hAnsi="Book Antiqua"/>
          <w:sz w:val="24"/>
          <w:szCs w:val="24"/>
        </w:rPr>
        <w:t>: Identify and analyse the main features of the institutional framework and coordination mechanism on youth employment. Especially role and responsibilities of government institutions involved in youth employment at both national and local levels, including the coordination mechanism, and indicate strengths and weaknesses;</w:t>
      </w:r>
    </w:p>
    <w:p w14:paraId="439D17CC" w14:textId="14F26272" w:rsidR="00567959" w:rsidRPr="000904EC" w:rsidRDefault="00740C62" w:rsidP="000904EC">
      <w:pPr>
        <w:pStyle w:val="ListParagraph"/>
        <w:numPr>
          <w:ilvl w:val="0"/>
          <w:numId w:val="4"/>
        </w:numPr>
        <w:spacing w:line="276" w:lineRule="auto"/>
        <w:jc w:val="both"/>
        <w:rPr>
          <w:rFonts w:ascii="Book Antiqua" w:hAnsi="Book Antiqua"/>
          <w:sz w:val="24"/>
          <w:szCs w:val="24"/>
        </w:rPr>
      </w:pPr>
      <w:r w:rsidRPr="000904EC">
        <w:rPr>
          <w:rFonts w:ascii="Book Antiqua" w:hAnsi="Book Antiqua"/>
          <w:i/>
          <w:sz w:val="24"/>
          <w:szCs w:val="24"/>
        </w:rPr>
        <w:t>Problem identification and analysis</w:t>
      </w:r>
      <w:r w:rsidRPr="000904EC">
        <w:rPr>
          <w:rFonts w:ascii="Book Antiqua" w:hAnsi="Book Antiqua"/>
          <w:sz w:val="24"/>
          <w:szCs w:val="24"/>
        </w:rPr>
        <w:t>: identify problems that should be addressed by the youth employment promotion strategy, and establish their hierarchy. Analyze cause and effect where seen.</w:t>
      </w:r>
    </w:p>
    <w:p w14:paraId="31B7624B" w14:textId="06F52C16" w:rsidR="00740C62" w:rsidRPr="000904EC" w:rsidRDefault="00740C62" w:rsidP="000904EC">
      <w:pPr>
        <w:pStyle w:val="ListParagraph"/>
        <w:numPr>
          <w:ilvl w:val="0"/>
          <w:numId w:val="4"/>
        </w:numPr>
        <w:spacing w:line="276" w:lineRule="auto"/>
        <w:jc w:val="both"/>
        <w:rPr>
          <w:rFonts w:ascii="Book Antiqua" w:hAnsi="Book Antiqua"/>
          <w:sz w:val="24"/>
          <w:szCs w:val="24"/>
        </w:rPr>
      </w:pPr>
      <w:r w:rsidRPr="000904EC">
        <w:rPr>
          <w:rFonts w:ascii="Book Antiqua" w:hAnsi="Book Antiqua"/>
          <w:i/>
          <w:sz w:val="24"/>
          <w:szCs w:val="24"/>
        </w:rPr>
        <w:t>Generate</w:t>
      </w:r>
      <w:r w:rsidR="0028269A">
        <w:rPr>
          <w:rFonts w:ascii="Book Antiqua" w:hAnsi="Book Antiqua"/>
          <w:i/>
          <w:sz w:val="24"/>
          <w:szCs w:val="24"/>
        </w:rPr>
        <w:t xml:space="preserve"> and selected</w:t>
      </w:r>
      <w:r w:rsidRPr="000904EC">
        <w:rPr>
          <w:rFonts w:ascii="Book Antiqua" w:hAnsi="Book Antiqua"/>
          <w:i/>
          <w:sz w:val="24"/>
          <w:szCs w:val="24"/>
        </w:rPr>
        <w:t xml:space="preserve"> </w:t>
      </w:r>
      <w:r w:rsidR="00A1750B" w:rsidRPr="000904EC">
        <w:rPr>
          <w:rFonts w:ascii="Book Antiqua" w:hAnsi="Book Antiqua"/>
          <w:i/>
          <w:sz w:val="24"/>
          <w:szCs w:val="24"/>
        </w:rPr>
        <w:t>strategic</w:t>
      </w:r>
      <w:r w:rsidRPr="000904EC">
        <w:rPr>
          <w:rFonts w:ascii="Book Antiqua" w:hAnsi="Book Antiqua"/>
          <w:i/>
          <w:sz w:val="24"/>
          <w:szCs w:val="24"/>
        </w:rPr>
        <w:t xml:space="preserve"> options</w:t>
      </w:r>
      <w:r w:rsidRPr="000904EC">
        <w:rPr>
          <w:rFonts w:ascii="Book Antiqua" w:hAnsi="Book Antiqua"/>
          <w:sz w:val="24"/>
          <w:szCs w:val="24"/>
        </w:rPr>
        <w:t xml:space="preserve">: There are a few steps here. First, identify </w:t>
      </w:r>
      <w:r w:rsidR="00A11259" w:rsidRPr="000904EC">
        <w:rPr>
          <w:rFonts w:ascii="Book Antiqua" w:hAnsi="Book Antiqua"/>
          <w:sz w:val="24"/>
          <w:szCs w:val="24"/>
        </w:rPr>
        <w:t xml:space="preserve">strategies </w:t>
      </w:r>
      <w:r w:rsidRPr="000904EC">
        <w:rPr>
          <w:rFonts w:ascii="Book Antiqua" w:hAnsi="Book Antiqua"/>
          <w:sz w:val="24"/>
          <w:szCs w:val="24"/>
        </w:rPr>
        <w:t xml:space="preserve">to tackle selected youth employment problems, establish a set of criteria by which potential </w:t>
      </w:r>
      <w:r w:rsidR="00A11259" w:rsidRPr="000904EC">
        <w:rPr>
          <w:rFonts w:ascii="Book Antiqua" w:hAnsi="Book Antiqua"/>
          <w:sz w:val="24"/>
          <w:szCs w:val="24"/>
        </w:rPr>
        <w:t xml:space="preserve">strategic </w:t>
      </w:r>
      <w:r w:rsidRPr="000904EC">
        <w:rPr>
          <w:rFonts w:ascii="Book Antiqua" w:hAnsi="Book Antiqua"/>
          <w:sz w:val="24"/>
          <w:szCs w:val="24"/>
        </w:rPr>
        <w:t xml:space="preserve">options should be considered, Within these areas, identify, prioritize and analyse </w:t>
      </w:r>
      <w:r w:rsidR="00A11259" w:rsidRPr="000904EC">
        <w:rPr>
          <w:rFonts w:ascii="Book Antiqua" w:hAnsi="Book Antiqua"/>
          <w:sz w:val="24"/>
          <w:szCs w:val="24"/>
        </w:rPr>
        <w:t>strategic</w:t>
      </w:r>
      <w:r w:rsidRPr="000904EC">
        <w:rPr>
          <w:rFonts w:ascii="Book Antiqua" w:hAnsi="Book Antiqua"/>
          <w:sz w:val="24"/>
          <w:szCs w:val="24"/>
        </w:rPr>
        <w:t xml:space="preserve"> options on the basis of the established criteria.</w:t>
      </w:r>
      <w:r w:rsidR="00A11259" w:rsidRPr="000904EC">
        <w:rPr>
          <w:rFonts w:ascii="Book Antiqua" w:hAnsi="Book Antiqua"/>
          <w:sz w:val="24"/>
          <w:szCs w:val="24"/>
        </w:rPr>
        <w:t xml:space="preserve"> Criteria that will be used can range from, desirability to affordability. </w:t>
      </w:r>
    </w:p>
    <w:p w14:paraId="7BC0D479" w14:textId="5D96000D" w:rsidR="00A11259" w:rsidRDefault="000904EC" w:rsidP="00567959">
      <w:pPr>
        <w:spacing w:line="276" w:lineRule="auto"/>
        <w:jc w:val="both"/>
        <w:rPr>
          <w:rFonts w:ascii="Book Antiqua" w:hAnsi="Book Antiqua"/>
          <w:sz w:val="24"/>
          <w:szCs w:val="24"/>
        </w:rPr>
      </w:pPr>
      <w:r>
        <w:rPr>
          <w:rFonts w:ascii="Book Antiqua" w:hAnsi="Book Antiqua"/>
          <w:sz w:val="24"/>
          <w:szCs w:val="24"/>
        </w:rPr>
        <w:t xml:space="preserve">The development of this background would require consultations with provincial and municipal stakeholders to understand their priorities and reflect them. </w:t>
      </w:r>
    </w:p>
    <w:p w14:paraId="06D43C2C" w14:textId="40637E96" w:rsidR="00567959" w:rsidRDefault="000904EC" w:rsidP="00B50CFF">
      <w:pPr>
        <w:pStyle w:val="ListParagraph"/>
        <w:numPr>
          <w:ilvl w:val="0"/>
          <w:numId w:val="5"/>
        </w:numPr>
        <w:spacing w:line="276" w:lineRule="auto"/>
        <w:jc w:val="both"/>
        <w:rPr>
          <w:rFonts w:ascii="Book Antiqua" w:hAnsi="Book Antiqua"/>
          <w:sz w:val="24"/>
          <w:szCs w:val="24"/>
        </w:rPr>
      </w:pPr>
      <w:r w:rsidRPr="0028269A">
        <w:rPr>
          <w:rFonts w:ascii="Book Antiqua" w:hAnsi="Book Antiqua"/>
          <w:sz w:val="24"/>
          <w:szCs w:val="24"/>
        </w:rPr>
        <w:t xml:space="preserve">Outline </w:t>
      </w:r>
      <w:r w:rsidR="0028269A" w:rsidRPr="0028269A">
        <w:rPr>
          <w:rFonts w:ascii="Book Antiqua" w:hAnsi="Book Antiqua"/>
          <w:sz w:val="24"/>
          <w:szCs w:val="24"/>
        </w:rPr>
        <w:t>yout</w:t>
      </w:r>
      <w:r w:rsidR="0028269A">
        <w:rPr>
          <w:rFonts w:ascii="Book Antiqua" w:hAnsi="Book Antiqua"/>
          <w:sz w:val="24"/>
          <w:szCs w:val="24"/>
        </w:rPr>
        <w:t xml:space="preserve">h employment promotion strategy: Ensure that it links to </w:t>
      </w:r>
      <w:r w:rsidRPr="0028269A">
        <w:rPr>
          <w:rFonts w:ascii="Book Antiqua" w:hAnsi="Book Antiqua"/>
          <w:sz w:val="24"/>
          <w:szCs w:val="24"/>
        </w:rPr>
        <w:t xml:space="preserve">existing </w:t>
      </w:r>
      <w:r w:rsidR="0028269A" w:rsidRPr="0028269A">
        <w:rPr>
          <w:rFonts w:ascii="Book Antiqua" w:hAnsi="Book Antiqua"/>
          <w:sz w:val="24"/>
          <w:szCs w:val="24"/>
        </w:rPr>
        <w:t>municipal/provincial/</w:t>
      </w:r>
      <w:r w:rsidRPr="0028269A">
        <w:rPr>
          <w:rFonts w:ascii="Book Antiqua" w:hAnsi="Book Antiqua"/>
          <w:sz w:val="24"/>
          <w:szCs w:val="24"/>
        </w:rPr>
        <w:t>national devel</w:t>
      </w:r>
      <w:r w:rsidR="0028269A" w:rsidRPr="0028269A">
        <w:rPr>
          <w:rFonts w:ascii="Book Antiqua" w:hAnsi="Book Antiqua"/>
          <w:sz w:val="24"/>
          <w:szCs w:val="24"/>
        </w:rPr>
        <w:t>opment frameworks and employ</w:t>
      </w:r>
      <w:r w:rsidRPr="0028269A">
        <w:rPr>
          <w:rFonts w:ascii="Book Antiqua" w:hAnsi="Book Antiqua"/>
          <w:sz w:val="24"/>
          <w:szCs w:val="24"/>
        </w:rPr>
        <w:t>ment policy.</w:t>
      </w:r>
      <w:r w:rsidR="0028269A" w:rsidRPr="0028269A">
        <w:rPr>
          <w:rFonts w:ascii="Book Antiqua" w:hAnsi="Book Antiqua"/>
          <w:sz w:val="24"/>
          <w:szCs w:val="24"/>
        </w:rPr>
        <w:t xml:space="preserve"> The strategy should clearly recommend an implementation and coordination mechanism.</w:t>
      </w:r>
    </w:p>
    <w:p w14:paraId="43FC0786" w14:textId="3BF1A91B" w:rsidR="0028269A" w:rsidRPr="0028269A" w:rsidRDefault="00897ED5" w:rsidP="00B50CFF">
      <w:pPr>
        <w:pStyle w:val="ListParagraph"/>
        <w:numPr>
          <w:ilvl w:val="0"/>
          <w:numId w:val="5"/>
        </w:numPr>
        <w:spacing w:line="276" w:lineRule="auto"/>
        <w:jc w:val="both"/>
        <w:rPr>
          <w:rFonts w:ascii="Book Antiqua" w:hAnsi="Book Antiqua"/>
          <w:sz w:val="24"/>
          <w:szCs w:val="24"/>
        </w:rPr>
      </w:pPr>
      <w:r>
        <w:rPr>
          <w:rFonts w:ascii="Book Antiqua" w:hAnsi="Book Antiqua"/>
          <w:sz w:val="24"/>
          <w:szCs w:val="24"/>
        </w:rPr>
        <w:t>Present</w:t>
      </w:r>
      <w:r w:rsidR="0028269A">
        <w:rPr>
          <w:rFonts w:ascii="Book Antiqua" w:hAnsi="Book Antiqua"/>
          <w:sz w:val="24"/>
          <w:szCs w:val="24"/>
        </w:rPr>
        <w:t xml:space="preserve"> youth employment promotion strategy </w:t>
      </w:r>
      <w:r>
        <w:rPr>
          <w:rFonts w:ascii="Book Antiqua" w:hAnsi="Book Antiqua"/>
          <w:sz w:val="24"/>
          <w:szCs w:val="24"/>
        </w:rPr>
        <w:t>for validation to stakeholders in Lumbini province</w:t>
      </w:r>
    </w:p>
    <w:p w14:paraId="6BE99D82" w14:textId="77777777" w:rsidR="000904EC" w:rsidRDefault="000904EC" w:rsidP="00F74BB0">
      <w:pPr>
        <w:spacing w:line="240" w:lineRule="auto"/>
        <w:contextualSpacing/>
        <w:jc w:val="both"/>
      </w:pPr>
    </w:p>
    <w:p w14:paraId="17AA1556" w14:textId="77777777" w:rsidR="005B63A9" w:rsidRPr="00230C5E" w:rsidRDefault="005B63A9" w:rsidP="005B63A9">
      <w:pPr>
        <w:spacing w:line="276" w:lineRule="auto"/>
        <w:jc w:val="both"/>
        <w:rPr>
          <w:rFonts w:ascii="Book Antiqua" w:hAnsi="Book Antiqua"/>
          <w:b/>
          <w:bCs/>
          <w:sz w:val="24"/>
          <w:szCs w:val="24"/>
        </w:rPr>
      </w:pPr>
      <w:r w:rsidRPr="00230C5E">
        <w:rPr>
          <w:rFonts w:ascii="Book Antiqua" w:hAnsi="Book Antiqua"/>
          <w:b/>
          <w:bCs/>
          <w:sz w:val="24"/>
          <w:szCs w:val="24"/>
        </w:rPr>
        <w:t>Duration of Work</w:t>
      </w:r>
    </w:p>
    <w:p w14:paraId="376F85D0" w14:textId="649C2B19" w:rsidR="005B63A9" w:rsidRPr="0028269A" w:rsidRDefault="0028269A" w:rsidP="0028269A">
      <w:pPr>
        <w:spacing w:line="276" w:lineRule="auto"/>
        <w:jc w:val="both"/>
        <w:rPr>
          <w:rFonts w:ascii="Book Antiqua" w:hAnsi="Book Antiqua"/>
          <w:sz w:val="24"/>
          <w:szCs w:val="24"/>
        </w:rPr>
      </w:pPr>
      <w:r w:rsidRPr="0028269A">
        <w:rPr>
          <w:rFonts w:ascii="Book Antiqua" w:hAnsi="Book Antiqua"/>
          <w:sz w:val="24"/>
          <w:szCs w:val="24"/>
        </w:rPr>
        <w:lastRenderedPageBreak/>
        <w:t xml:space="preserve">Duration of work will be equivalent to twenty (20) </w:t>
      </w:r>
      <w:r w:rsidR="00B830EE">
        <w:rPr>
          <w:rFonts w:ascii="Book Antiqua" w:hAnsi="Book Antiqua"/>
          <w:sz w:val="24"/>
          <w:szCs w:val="24"/>
        </w:rPr>
        <w:t xml:space="preserve">working </w:t>
      </w:r>
      <w:r w:rsidRPr="0028269A">
        <w:rPr>
          <w:rFonts w:ascii="Book Antiqua" w:hAnsi="Book Antiqua"/>
          <w:sz w:val="24"/>
          <w:szCs w:val="24"/>
        </w:rPr>
        <w:t>days including the duration of review and preparation of final document</w:t>
      </w:r>
      <w:r>
        <w:rPr>
          <w:rFonts w:ascii="Book Antiqua" w:hAnsi="Book Antiqua"/>
          <w:sz w:val="24"/>
          <w:szCs w:val="24"/>
        </w:rPr>
        <w:t>.</w:t>
      </w:r>
    </w:p>
    <w:p w14:paraId="53FA0575" w14:textId="77777777" w:rsidR="0028269A" w:rsidRDefault="0028269A" w:rsidP="00F74BB0">
      <w:pPr>
        <w:spacing w:line="240" w:lineRule="auto"/>
        <w:contextualSpacing/>
        <w:jc w:val="both"/>
      </w:pPr>
    </w:p>
    <w:p w14:paraId="2655A274" w14:textId="77777777" w:rsidR="005B63A9" w:rsidRPr="00230C5E" w:rsidRDefault="005B63A9" w:rsidP="005B63A9">
      <w:pPr>
        <w:spacing w:line="276" w:lineRule="auto"/>
        <w:jc w:val="both"/>
        <w:rPr>
          <w:rFonts w:ascii="Book Antiqua" w:hAnsi="Book Antiqua"/>
          <w:b/>
          <w:bCs/>
          <w:sz w:val="24"/>
          <w:szCs w:val="24"/>
        </w:rPr>
      </w:pPr>
      <w:r w:rsidRPr="00230C5E">
        <w:rPr>
          <w:rFonts w:ascii="Book Antiqua" w:hAnsi="Book Antiqua"/>
          <w:b/>
          <w:bCs/>
          <w:sz w:val="24"/>
          <w:szCs w:val="24"/>
        </w:rPr>
        <w:t>Deliverables</w:t>
      </w:r>
    </w:p>
    <w:p w14:paraId="35F90BA2" w14:textId="77777777" w:rsidR="0028269A" w:rsidRDefault="0028269A" w:rsidP="0028269A">
      <w:pPr>
        <w:spacing w:line="276" w:lineRule="auto"/>
        <w:jc w:val="both"/>
        <w:rPr>
          <w:rFonts w:ascii="Book Antiqua" w:hAnsi="Book Antiqua"/>
          <w:sz w:val="24"/>
          <w:szCs w:val="24"/>
        </w:rPr>
      </w:pPr>
      <w:r>
        <w:rPr>
          <w:rFonts w:ascii="Book Antiqua" w:hAnsi="Book Antiqua"/>
          <w:sz w:val="24"/>
          <w:szCs w:val="24"/>
        </w:rPr>
        <w:t>There are three specific deliverables for this contract;</w:t>
      </w:r>
    </w:p>
    <w:p w14:paraId="2E4004B8" w14:textId="77777777" w:rsidR="0028269A" w:rsidRDefault="0028269A" w:rsidP="0028269A">
      <w:pPr>
        <w:pStyle w:val="ListParagraph"/>
        <w:numPr>
          <w:ilvl w:val="0"/>
          <w:numId w:val="6"/>
        </w:numPr>
        <w:spacing w:line="276" w:lineRule="auto"/>
        <w:jc w:val="both"/>
        <w:rPr>
          <w:rFonts w:ascii="Book Antiqua" w:hAnsi="Book Antiqua"/>
          <w:sz w:val="24"/>
          <w:szCs w:val="24"/>
        </w:rPr>
      </w:pPr>
      <w:r>
        <w:rPr>
          <w:rFonts w:ascii="Book Antiqua" w:hAnsi="Book Antiqua"/>
          <w:sz w:val="24"/>
          <w:szCs w:val="24"/>
        </w:rPr>
        <w:t xml:space="preserve">Inception report </w:t>
      </w:r>
    </w:p>
    <w:p w14:paraId="6901C987" w14:textId="703F2CCD" w:rsidR="0028269A" w:rsidRDefault="0028269A" w:rsidP="0028269A">
      <w:pPr>
        <w:pStyle w:val="ListParagraph"/>
        <w:numPr>
          <w:ilvl w:val="0"/>
          <w:numId w:val="6"/>
        </w:numPr>
        <w:spacing w:line="276" w:lineRule="auto"/>
        <w:jc w:val="both"/>
        <w:rPr>
          <w:rFonts w:ascii="Book Antiqua" w:hAnsi="Book Antiqua"/>
          <w:sz w:val="24"/>
          <w:szCs w:val="24"/>
        </w:rPr>
      </w:pPr>
      <w:r>
        <w:rPr>
          <w:rFonts w:ascii="Book Antiqua" w:hAnsi="Book Antiqua"/>
          <w:sz w:val="24"/>
          <w:szCs w:val="24"/>
        </w:rPr>
        <w:t>Draft background and strategy</w:t>
      </w:r>
    </w:p>
    <w:p w14:paraId="049D3336" w14:textId="24CD3BC0" w:rsidR="0028269A" w:rsidRPr="005C15CE" w:rsidRDefault="0028269A" w:rsidP="0028269A">
      <w:pPr>
        <w:pStyle w:val="ListParagraph"/>
        <w:numPr>
          <w:ilvl w:val="0"/>
          <w:numId w:val="6"/>
        </w:numPr>
        <w:spacing w:line="276" w:lineRule="auto"/>
        <w:jc w:val="both"/>
        <w:rPr>
          <w:rFonts w:ascii="Book Antiqua" w:hAnsi="Book Antiqua"/>
          <w:sz w:val="24"/>
          <w:szCs w:val="24"/>
        </w:rPr>
      </w:pPr>
      <w:r>
        <w:rPr>
          <w:rFonts w:ascii="Book Antiqua" w:hAnsi="Book Antiqua"/>
          <w:sz w:val="24"/>
          <w:szCs w:val="24"/>
        </w:rPr>
        <w:t xml:space="preserve">Model Business Promotion Strategy validated </w:t>
      </w:r>
      <w:r w:rsidR="00CC6367">
        <w:rPr>
          <w:rFonts w:ascii="Book Antiqua" w:hAnsi="Book Antiqua"/>
          <w:sz w:val="24"/>
          <w:szCs w:val="24"/>
        </w:rPr>
        <w:t xml:space="preserve">by </w:t>
      </w:r>
      <w:r w:rsidR="00897ED5">
        <w:rPr>
          <w:rFonts w:ascii="Book Antiqua" w:hAnsi="Book Antiqua"/>
          <w:sz w:val="24"/>
          <w:szCs w:val="24"/>
        </w:rPr>
        <w:t>stakeholders in Lumbini province</w:t>
      </w:r>
    </w:p>
    <w:p w14:paraId="09FB66C2" w14:textId="77777777" w:rsidR="005B63A9" w:rsidRPr="00230C5E" w:rsidRDefault="005B63A9" w:rsidP="005B63A9">
      <w:pPr>
        <w:spacing w:line="276" w:lineRule="auto"/>
        <w:jc w:val="both"/>
        <w:rPr>
          <w:rFonts w:ascii="Book Antiqua" w:hAnsi="Book Antiqua"/>
          <w:b/>
          <w:bCs/>
          <w:sz w:val="24"/>
          <w:szCs w:val="24"/>
        </w:rPr>
      </w:pPr>
      <w:r w:rsidRPr="00230C5E">
        <w:rPr>
          <w:rFonts w:ascii="Book Antiqua" w:hAnsi="Book Antiqua"/>
          <w:b/>
          <w:bCs/>
          <w:sz w:val="24"/>
          <w:szCs w:val="24"/>
        </w:rPr>
        <w:t>Minimum Qualifications</w:t>
      </w:r>
    </w:p>
    <w:p w14:paraId="124971C4" w14:textId="77777777" w:rsidR="0028269A" w:rsidRDefault="0028269A" w:rsidP="0028269A">
      <w:pPr>
        <w:pStyle w:val="ListParagraph"/>
        <w:numPr>
          <w:ilvl w:val="0"/>
          <w:numId w:val="1"/>
        </w:numPr>
        <w:spacing w:line="276" w:lineRule="auto"/>
        <w:jc w:val="both"/>
        <w:rPr>
          <w:rFonts w:ascii="Book Antiqua" w:hAnsi="Book Antiqua"/>
          <w:sz w:val="24"/>
          <w:szCs w:val="24"/>
        </w:rPr>
      </w:pPr>
      <w:r>
        <w:rPr>
          <w:rFonts w:ascii="Book Antiqua" w:hAnsi="Book Antiqua"/>
          <w:sz w:val="24"/>
          <w:szCs w:val="24"/>
        </w:rPr>
        <w:t>Undergraduate, preferably Postgraduate, degree in Management, Commerce, or Social Science related subjects</w:t>
      </w:r>
    </w:p>
    <w:p w14:paraId="269E290C" w14:textId="77777777" w:rsidR="0028269A" w:rsidRDefault="0028269A" w:rsidP="0028269A">
      <w:pPr>
        <w:pStyle w:val="ListParagraph"/>
        <w:numPr>
          <w:ilvl w:val="0"/>
          <w:numId w:val="1"/>
        </w:numPr>
        <w:spacing w:line="276" w:lineRule="auto"/>
        <w:jc w:val="both"/>
        <w:rPr>
          <w:rFonts w:ascii="Book Antiqua" w:hAnsi="Book Antiqua"/>
          <w:sz w:val="24"/>
          <w:szCs w:val="24"/>
        </w:rPr>
      </w:pPr>
      <w:r>
        <w:rPr>
          <w:rFonts w:ascii="Book Antiqua" w:hAnsi="Book Antiqua"/>
          <w:sz w:val="24"/>
          <w:szCs w:val="24"/>
        </w:rPr>
        <w:t>4 years of research experience, and familiarity with quantitative and qualitative methods</w:t>
      </w:r>
    </w:p>
    <w:p w14:paraId="1C9977B8" w14:textId="4425C593" w:rsidR="0028269A" w:rsidRDefault="0028269A" w:rsidP="0028269A">
      <w:pPr>
        <w:pStyle w:val="ListParagraph"/>
        <w:numPr>
          <w:ilvl w:val="0"/>
          <w:numId w:val="1"/>
        </w:numPr>
        <w:spacing w:line="276" w:lineRule="auto"/>
        <w:jc w:val="both"/>
        <w:rPr>
          <w:rFonts w:ascii="Book Antiqua" w:hAnsi="Book Antiqua"/>
          <w:sz w:val="24"/>
          <w:szCs w:val="24"/>
        </w:rPr>
      </w:pPr>
      <w:r>
        <w:rPr>
          <w:rFonts w:ascii="Book Antiqua" w:hAnsi="Book Antiqua"/>
          <w:sz w:val="24"/>
          <w:szCs w:val="24"/>
        </w:rPr>
        <w:t>Previous experience working on policy advocacy</w:t>
      </w:r>
      <w:r w:rsidR="007921F0">
        <w:rPr>
          <w:rFonts w:ascii="Book Antiqua" w:hAnsi="Book Antiqua"/>
          <w:sz w:val="24"/>
          <w:szCs w:val="24"/>
        </w:rPr>
        <w:t>, especially on youth policy</w:t>
      </w:r>
      <w:r>
        <w:rPr>
          <w:rFonts w:ascii="Book Antiqua" w:hAnsi="Book Antiqua"/>
          <w:sz w:val="24"/>
          <w:szCs w:val="24"/>
        </w:rPr>
        <w:t xml:space="preserve"> in Nepal preferred</w:t>
      </w:r>
    </w:p>
    <w:p w14:paraId="469296D3" w14:textId="77777777" w:rsidR="0028269A" w:rsidRPr="00A50D35" w:rsidRDefault="0028269A" w:rsidP="0028269A">
      <w:pPr>
        <w:pStyle w:val="ListParagraph"/>
        <w:numPr>
          <w:ilvl w:val="0"/>
          <w:numId w:val="1"/>
        </w:numPr>
        <w:spacing w:line="276" w:lineRule="auto"/>
        <w:jc w:val="both"/>
        <w:rPr>
          <w:rFonts w:ascii="Book Antiqua" w:hAnsi="Book Antiqua"/>
          <w:sz w:val="24"/>
          <w:szCs w:val="24"/>
        </w:rPr>
      </w:pPr>
      <w:r w:rsidRPr="00A50D35">
        <w:rPr>
          <w:rFonts w:ascii="Book Antiqua" w:hAnsi="Book Antiqua"/>
          <w:sz w:val="24"/>
          <w:szCs w:val="24"/>
        </w:rPr>
        <w:t>Extensive knowledge of and network with private sector, relevant government agencies and other stakeholders</w:t>
      </w:r>
    </w:p>
    <w:p w14:paraId="00B0F359" w14:textId="77777777" w:rsidR="0028269A" w:rsidRPr="00A50D35" w:rsidRDefault="0028269A" w:rsidP="0028269A">
      <w:pPr>
        <w:pStyle w:val="ListParagraph"/>
        <w:numPr>
          <w:ilvl w:val="0"/>
          <w:numId w:val="1"/>
        </w:numPr>
        <w:spacing w:line="276" w:lineRule="auto"/>
        <w:jc w:val="both"/>
        <w:rPr>
          <w:rFonts w:ascii="Book Antiqua" w:hAnsi="Book Antiqua"/>
          <w:sz w:val="24"/>
          <w:szCs w:val="24"/>
        </w:rPr>
      </w:pPr>
      <w:r w:rsidRPr="00A50D35">
        <w:rPr>
          <w:rFonts w:ascii="Book Antiqua" w:hAnsi="Book Antiqua"/>
          <w:sz w:val="24"/>
          <w:szCs w:val="24"/>
        </w:rPr>
        <w:t>Knowledge and familiarity with the industrial context and economy of Lumbini Province, especially Rupandehi district.</w:t>
      </w:r>
    </w:p>
    <w:p w14:paraId="1F7456E1" w14:textId="77777777" w:rsidR="0028269A" w:rsidRPr="00A50D35" w:rsidRDefault="0028269A" w:rsidP="0028269A">
      <w:pPr>
        <w:spacing w:line="276" w:lineRule="auto"/>
        <w:jc w:val="both"/>
        <w:rPr>
          <w:rFonts w:ascii="Book Antiqua" w:hAnsi="Book Antiqua"/>
          <w:b/>
          <w:bCs/>
          <w:sz w:val="24"/>
          <w:szCs w:val="24"/>
        </w:rPr>
      </w:pPr>
      <w:r>
        <w:rPr>
          <w:rFonts w:ascii="Book Antiqua" w:hAnsi="Book Antiqua"/>
          <w:b/>
          <w:bCs/>
          <w:sz w:val="24"/>
          <w:szCs w:val="24"/>
        </w:rPr>
        <w:t>Application Procedure</w:t>
      </w:r>
    </w:p>
    <w:p w14:paraId="4D35BC65" w14:textId="77777777" w:rsidR="0028269A" w:rsidRPr="00A50D35" w:rsidRDefault="0028269A" w:rsidP="0028269A">
      <w:pPr>
        <w:spacing w:line="276" w:lineRule="auto"/>
        <w:jc w:val="both"/>
        <w:rPr>
          <w:rFonts w:ascii="Book Antiqua" w:hAnsi="Book Antiqua"/>
          <w:sz w:val="24"/>
          <w:szCs w:val="24"/>
        </w:rPr>
      </w:pPr>
      <w:r w:rsidRPr="00A50D35">
        <w:rPr>
          <w:rFonts w:ascii="Book Antiqua" w:hAnsi="Book Antiqua"/>
          <w:sz w:val="24"/>
          <w:szCs w:val="24"/>
        </w:rPr>
        <w:t xml:space="preserve">Qualified candidates are requested to submit a cover letter along with updated CV to </w:t>
      </w:r>
      <w:hyperlink r:id="rId7" w:history="1">
        <w:r w:rsidRPr="00A50D35">
          <w:rPr>
            <w:rStyle w:val="Hyperlink"/>
            <w:rFonts w:ascii="Book Antiqua" w:hAnsi="Book Antiqua"/>
            <w:sz w:val="24"/>
            <w:szCs w:val="24"/>
          </w:rPr>
          <w:t>info@nbinepal.org.np</w:t>
        </w:r>
      </w:hyperlink>
      <w:r w:rsidRPr="00A50D35">
        <w:rPr>
          <w:rFonts w:ascii="Book Antiqua" w:hAnsi="Book Antiqua"/>
          <w:sz w:val="24"/>
          <w:szCs w:val="24"/>
        </w:rPr>
        <w:t xml:space="preserve"> by 16</w:t>
      </w:r>
      <w:r w:rsidRPr="00A50D35">
        <w:rPr>
          <w:rFonts w:ascii="Book Antiqua" w:hAnsi="Book Antiqua"/>
          <w:sz w:val="24"/>
          <w:szCs w:val="24"/>
          <w:vertAlign w:val="superscript"/>
        </w:rPr>
        <w:t>th</w:t>
      </w:r>
      <w:r w:rsidRPr="00A50D35">
        <w:rPr>
          <w:rFonts w:ascii="Book Antiqua" w:hAnsi="Book Antiqua"/>
          <w:sz w:val="24"/>
          <w:szCs w:val="24"/>
        </w:rPr>
        <w:t xml:space="preserve"> May 2021. Please indicate your ability, availability and daily rate to undertake the terms of references above. Any enquiries and information can be directed t</w:t>
      </w:r>
      <w:r>
        <w:rPr>
          <w:rFonts w:ascii="Book Antiqua" w:hAnsi="Book Antiqua"/>
          <w:sz w:val="24"/>
          <w:szCs w:val="24"/>
        </w:rPr>
        <w:t>o Mr. Prabhakar Sigdel (9841476826)</w:t>
      </w:r>
    </w:p>
    <w:p w14:paraId="67156879" w14:textId="77777777" w:rsidR="00F74BB0" w:rsidRDefault="00F74BB0"/>
    <w:sectPr w:rsidR="00F74B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D73BA"/>
    <w:multiLevelType w:val="hybridMultilevel"/>
    <w:tmpl w:val="D18A3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2A09FC"/>
    <w:multiLevelType w:val="hybridMultilevel"/>
    <w:tmpl w:val="6874950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C90BA6"/>
    <w:multiLevelType w:val="hybridMultilevel"/>
    <w:tmpl w:val="12B4D7DE"/>
    <w:lvl w:ilvl="0" w:tplc="04090001">
      <w:start w:val="1"/>
      <w:numFmt w:val="bullet"/>
      <w:lvlText w:val=""/>
      <w:lvlJc w:val="left"/>
      <w:pPr>
        <w:ind w:left="501" w:hanging="360"/>
      </w:pPr>
      <w:rPr>
        <w:rFonts w:ascii="Symbol" w:hAnsi="Symbol" w:hint="default"/>
      </w:rPr>
    </w:lvl>
    <w:lvl w:ilvl="1" w:tplc="04090003" w:tentative="1">
      <w:start w:val="1"/>
      <w:numFmt w:val="bullet"/>
      <w:lvlText w:val="o"/>
      <w:lvlJc w:val="left"/>
      <w:pPr>
        <w:ind w:left="1221" w:hanging="360"/>
      </w:pPr>
      <w:rPr>
        <w:rFonts w:ascii="Courier New" w:hAnsi="Courier New" w:cs="Courier New" w:hint="default"/>
      </w:rPr>
    </w:lvl>
    <w:lvl w:ilvl="2" w:tplc="04090005" w:tentative="1">
      <w:start w:val="1"/>
      <w:numFmt w:val="bullet"/>
      <w:lvlText w:val=""/>
      <w:lvlJc w:val="left"/>
      <w:pPr>
        <w:ind w:left="1941" w:hanging="360"/>
      </w:pPr>
      <w:rPr>
        <w:rFonts w:ascii="Wingdings" w:hAnsi="Wingdings" w:hint="default"/>
      </w:rPr>
    </w:lvl>
    <w:lvl w:ilvl="3" w:tplc="04090001" w:tentative="1">
      <w:start w:val="1"/>
      <w:numFmt w:val="bullet"/>
      <w:lvlText w:val=""/>
      <w:lvlJc w:val="left"/>
      <w:pPr>
        <w:ind w:left="2661" w:hanging="360"/>
      </w:pPr>
      <w:rPr>
        <w:rFonts w:ascii="Symbol" w:hAnsi="Symbol" w:hint="default"/>
      </w:rPr>
    </w:lvl>
    <w:lvl w:ilvl="4" w:tplc="04090003" w:tentative="1">
      <w:start w:val="1"/>
      <w:numFmt w:val="bullet"/>
      <w:lvlText w:val="o"/>
      <w:lvlJc w:val="left"/>
      <w:pPr>
        <w:ind w:left="3381" w:hanging="360"/>
      </w:pPr>
      <w:rPr>
        <w:rFonts w:ascii="Courier New" w:hAnsi="Courier New" w:cs="Courier New" w:hint="default"/>
      </w:rPr>
    </w:lvl>
    <w:lvl w:ilvl="5" w:tplc="04090005" w:tentative="1">
      <w:start w:val="1"/>
      <w:numFmt w:val="bullet"/>
      <w:lvlText w:val=""/>
      <w:lvlJc w:val="left"/>
      <w:pPr>
        <w:ind w:left="4101" w:hanging="360"/>
      </w:pPr>
      <w:rPr>
        <w:rFonts w:ascii="Wingdings" w:hAnsi="Wingdings" w:hint="default"/>
      </w:rPr>
    </w:lvl>
    <w:lvl w:ilvl="6" w:tplc="04090001" w:tentative="1">
      <w:start w:val="1"/>
      <w:numFmt w:val="bullet"/>
      <w:lvlText w:val=""/>
      <w:lvlJc w:val="left"/>
      <w:pPr>
        <w:ind w:left="4821" w:hanging="360"/>
      </w:pPr>
      <w:rPr>
        <w:rFonts w:ascii="Symbol" w:hAnsi="Symbol" w:hint="default"/>
      </w:rPr>
    </w:lvl>
    <w:lvl w:ilvl="7" w:tplc="04090003" w:tentative="1">
      <w:start w:val="1"/>
      <w:numFmt w:val="bullet"/>
      <w:lvlText w:val="o"/>
      <w:lvlJc w:val="left"/>
      <w:pPr>
        <w:ind w:left="5541" w:hanging="360"/>
      </w:pPr>
      <w:rPr>
        <w:rFonts w:ascii="Courier New" w:hAnsi="Courier New" w:cs="Courier New" w:hint="default"/>
      </w:rPr>
    </w:lvl>
    <w:lvl w:ilvl="8" w:tplc="04090005" w:tentative="1">
      <w:start w:val="1"/>
      <w:numFmt w:val="bullet"/>
      <w:lvlText w:val=""/>
      <w:lvlJc w:val="left"/>
      <w:pPr>
        <w:ind w:left="6261" w:hanging="360"/>
      </w:pPr>
      <w:rPr>
        <w:rFonts w:ascii="Wingdings" w:hAnsi="Wingdings" w:hint="default"/>
      </w:rPr>
    </w:lvl>
  </w:abstractNum>
  <w:abstractNum w:abstractNumId="3" w15:restartNumberingAfterBreak="0">
    <w:nsid w:val="5CA325B9"/>
    <w:multiLevelType w:val="hybridMultilevel"/>
    <w:tmpl w:val="D72437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216427C"/>
    <w:multiLevelType w:val="hybridMultilevel"/>
    <w:tmpl w:val="C06215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72F90EE6"/>
    <w:multiLevelType w:val="hybridMultilevel"/>
    <w:tmpl w:val="07440AB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4BB0"/>
    <w:rsid w:val="000904EC"/>
    <w:rsid w:val="0028269A"/>
    <w:rsid w:val="003F78AA"/>
    <w:rsid w:val="00567959"/>
    <w:rsid w:val="005B63A9"/>
    <w:rsid w:val="00643828"/>
    <w:rsid w:val="00740C62"/>
    <w:rsid w:val="007921F0"/>
    <w:rsid w:val="007E03BE"/>
    <w:rsid w:val="0085229A"/>
    <w:rsid w:val="00897ED5"/>
    <w:rsid w:val="00A11259"/>
    <w:rsid w:val="00A1750B"/>
    <w:rsid w:val="00A77831"/>
    <w:rsid w:val="00B529F7"/>
    <w:rsid w:val="00B830EE"/>
    <w:rsid w:val="00B9121A"/>
    <w:rsid w:val="00CC6367"/>
    <w:rsid w:val="00EF31DC"/>
    <w:rsid w:val="00F74BB0"/>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A9919"/>
  <w15:chartTrackingRefBased/>
  <w15:docId w15:val="{745AA45A-C063-4562-830F-57205919C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lang w:val="en-US" w:eastAsia="en-US" w:bidi="ne-NP"/>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4BB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74B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74BB0"/>
    <w:pPr>
      <w:ind w:left="720"/>
      <w:contextualSpacing/>
    </w:pPr>
  </w:style>
  <w:style w:type="character" w:styleId="Hyperlink">
    <w:name w:val="Hyperlink"/>
    <w:basedOn w:val="DefaultParagraphFont"/>
    <w:uiPriority w:val="99"/>
    <w:unhideWhenUsed/>
    <w:rsid w:val="00F74BB0"/>
    <w:rPr>
      <w:color w:val="0563C1" w:themeColor="hyperlink"/>
      <w:u w:val="single"/>
    </w:rPr>
  </w:style>
  <w:style w:type="paragraph" w:styleId="Title">
    <w:name w:val="Title"/>
    <w:basedOn w:val="Normal"/>
    <w:next w:val="Normal"/>
    <w:link w:val="TitleChar"/>
    <w:uiPriority w:val="10"/>
    <w:qFormat/>
    <w:rsid w:val="005B63A9"/>
    <w:pPr>
      <w:spacing w:after="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5B63A9"/>
    <w:rPr>
      <w:rFonts w:asciiTheme="majorHAnsi" w:eastAsiaTheme="majorEastAsia" w:hAnsiTheme="majorHAnsi" w:cstheme="majorBidi"/>
      <w:spacing w:val="-10"/>
      <w:kern w:val="28"/>
      <w:sz w:val="56"/>
      <w:szCs w:val="5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info@nbinepal.org.n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08CDCF-217C-4BE1-8249-CE95198178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549</TotalTime>
  <Pages>4</Pages>
  <Words>1221</Words>
  <Characters>6964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Pradeep Poudel</dc:creator>
  <cp:keywords/>
  <dc:description/>
  <cp:lastModifiedBy>Pradeep Poudel</cp:lastModifiedBy>
  <cp:revision>15</cp:revision>
  <dcterms:created xsi:type="dcterms:W3CDTF">2021-05-12T07:57:00Z</dcterms:created>
  <dcterms:modified xsi:type="dcterms:W3CDTF">2021-05-19T07:29:00Z</dcterms:modified>
</cp:coreProperties>
</file>